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00" w:rsidRPr="00E67115" w:rsidRDefault="001C1800" w:rsidP="00E671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E67115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приказу министерства культуры Калужской области </w:t>
      </w:r>
    </w:p>
    <w:p w:rsidR="001C1800" w:rsidRPr="00E731C4" w:rsidRDefault="001C1800" w:rsidP="00E67115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731C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 </w:t>
      </w:r>
      <w:r w:rsidR="00E731C4" w:rsidRPr="00E731C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14 марта</w:t>
      </w:r>
      <w:r w:rsidRPr="00E731C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2019 г.</w:t>
      </w:r>
      <w:r w:rsidR="00E731C4" w:rsidRPr="00E731C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</w:t>
      </w:r>
      <w:r w:rsidRPr="00E731C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№</w:t>
      </w:r>
      <w:r w:rsidR="00E731C4" w:rsidRPr="00E731C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Pr="00E731C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E731C4" w:rsidRPr="00E731C4">
        <w:rPr>
          <w:rFonts w:ascii="Times New Roman" w:eastAsia="Times New Roman" w:hAnsi="Times New Roman" w:cs="Times New Roman"/>
          <w:sz w:val="26"/>
          <w:szCs w:val="26"/>
          <w:u w:val="single"/>
        </w:rPr>
        <w:t>65</w:t>
      </w:r>
    </w:p>
    <w:p w:rsidR="001C1800" w:rsidRPr="00E67115" w:rsidRDefault="001C1800" w:rsidP="00E67115">
      <w:pPr>
        <w:spacing w:line="240" w:lineRule="auto"/>
        <w:ind w:left="5670"/>
        <w:rPr>
          <w:sz w:val="26"/>
          <w:szCs w:val="26"/>
        </w:rPr>
      </w:pP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843176" w:rsidRPr="00E67115">
        <w:trPr>
          <w:trHeight w:val="1195"/>
        </w:trPr>
        <w:tc>
          <w:tcPr>
            <w:tcW w:w="10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 ходе реализации и оценке эффективности </w:t>
            </w:r>
          </w:p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государственной программы Калужской области «Развитие культуры в Калужской области»</w:t>
            </w:r>
          </w:p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2018 году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государственной программы Калужской области - «Развитие культуры в Калужской области».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 Перечень подпрограмм, входящих в государственную программу: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«Развитие учреждений культуры и образования в сфере культуры Калужской области»;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«Организация и проведение мероприятий в сфере культуры, искусства и кинематографии»;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«Обеспечение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объектов»;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«Обеспечение формирования и содержания архивных фондов в Калужской области»;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«Организация и проведение мероприятий, посвященных празднованию 75-летия Победы в Великой Отечественной войне».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 Основные цели и задачи государственной программы: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государственной программы: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Реализация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Калужской области.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государственной программы: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Создание благоприятных условий для </w:t>
            </w:r>
            <w:proofErr w:type="gramStart"/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устойчивого</w:t>
            </w:r>
            <w:proofErr w:type="gramEnd"/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развития сферы культуры Калужской области;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Сохранение, пополнение и использование культурного и исторического наследия Калужской области.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F0A4C" w:rsidRPr="00E67115" w:rsidRDefault="007F0A4C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6"/>
              </w:rPr>
            </w:pPr>
          </w:p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2. Результаты, достигнутые за отчетный период, и сведения о степени соответствия установленных и достигнутых индикаторов государственных программ за отчетный год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 Основные результаты, достигнутые в 2018 году: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Отрасль культуры Калужской области включает в себя сферы библиотечного, музейного и клубного дела, театральную и музыкальную, современное изобразительное искусство, кино, творческие союзы, памятники истории и культуры. Реализацию конституционного права жителей области на участие в культурной жизни и пользование учреждениями культуры, на доступ к культурным ценностям обеспечивает развитая сеть </w:t>
            </w: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общедоступных учреждений культуры и искусства области.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Современной площадкой для развития различных направлений искусства и творчества является </w:t>
            </w:r>
            <w:proofErr w:type="gram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Инновационный</w:t>
            </w:r>
            <w:proofErr w:type="gram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культурный центр (далее – ИКЦ). Уже сейчас здесь реализуется целый ряд </w:t>
            </w:r>
            <w:proofErr w:type="gram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ярких</w:t>
            </w:r>
            <w:proofErr w:type="gram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фестивальных, театральных, выставочных, литературных и кинопроектов как современной, так и традиционной направленности.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2018 году на базе ИКЦ создан </w:t>
            </w:r>
            <w:proofErr w:type="spell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коворкинг</w:t>
            </w:r>
            <w:proofErr w:type="spell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-центр «Точка кипения» - пространство коллективной работы, предназначенное для представителей сферы образования, науки, бизнеса, для обмена опытом, результатами деятельности, проработки новых моделей регионального развития отдельно по своим направлениям и во взаимодействии друг с другом.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Открытая площадка летнего амфитеатра ИКЦ в 2018 году оборудована  светодиодным экраном (9м х 5м), что дает возможность транслировать фильмы в формате высокой четкости, в том числе в дневное время и при любых погодных условиях. Вместимость открытого амфитеатра - до 800 человек.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2018 году в Калужской областной филармонии проведен ремонт зрительного зала и гардеробной. Увеличено количество посадочных мест с 750 до 880, произведена реконструкция оркестровой ямы, обновлено покрытие сцены. Продолжается переоборудование открытой концертной площадки «Гостиный двор»: для обеспечения безопасности приобретены рамки металлодетекторов, установлена система видеонаблюдения. В октябре 2018 года в рамках реализации Всероссийского проекта Министерства культуры Российской Федерации состоялось открытие Виртуального концертного зала на базе областной филармонии. Благодаря оборудованному залу, оснащённому современной техникой, у слушателей Калужской области появилась возможность фактически присутствовать на филармонических концертах ведущих российских и зарубежных виртуозов-исполнителей, прославленных коллективов центральных концертных залов России.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июня 2018 года в рамках праздничных мероприятий, приуроченных ко Дню России, на концертной площадке «Гостиный двор» Калужская областная филармония совместно с народным артистом России Е. Князевым при поддержке Администрации Калужской области представили калужскому зрителю литературно-музыкальную постановку по знаменитому произведению А.С. Пушкина «Борис Годунов».</w:t>
            </w:r>
            <w:proofErr w:type="gramEnd"/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Калужский театр юного зрителя и Калужский кукольный театр получили новое оборудование в </w:t>
            </w:r>
            <w:proofErr w:type="gram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рамках</w:t>
            </w:r>
            <w:proofErr w:type="gram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поддержки из федерального бюджета, такая же поддержка будет продолжена и в 2019 году.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территории области выстроена и успешно действует система фестивалей и праздников, организованных совместно с некоммерческими организациями и в </w:t>
            </w:r>
            <w:proofErr w:type="spell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соработничестве</w:t>
            </w:r>
            <w:proofErr w:type="spell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Калужской Епархией.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 год отмечен оживлением гастрольной деятельности театральных и концертных коллективов, расширением ее географии. С целью повышения роли и значения народных традиций народов мира в современной художественной культуре, популяризации и представления русских народных музыкальных традиций в Европе в январе 2018 года при поддержке франко-русской ассоциации «</w:t>
            </w:r>
            <w:proofErr w:type="spell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Лингварик</w:t>
            </w:r>
            <w:proofErr w:type="spell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состоялись «Дни Калуги» во Франции в рамках программы «Русский год в </w:t>
            </w:r>
            <w:proofErr w:type="spell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Пуасси</w:t>
            </w:r>
            <w:proofErr w:type="spell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». Сферу культуры нашего региона представляли Оркестр русских народных инструментов им. Е.М. Тришина Калужской областной филармонии и Калужский областной центр народного творчества. Их концерты и мастер-классы состоялись на шести площадках в городах: </w:t>
            </w:r>
            <w:proofErr w:type="spell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Конфлан</w:t>
            </w:r>
            <w:proofErr w:type="spell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Пуасси</w:t>
            </w:r>
            <w:proofErr w:type="spell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Жуар</w:t>
            </w:r>
            <w:proofErr w:type="spell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Париж.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октябре 2018 года при поддержке автономной некоммерческой организации </w:t>
            </w: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содействия концертной деятельности «Русские сезоны» Оркестр русских народных инструментов им. Е. Тришина Калужской областной филармонии принял участие в Международном фестивале хоров и оркестров на Озере Гарда г. Рива </w:t>
            </w:r>
            <w:proofErr w:type="spell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Дель</w:t>
            </w:r>
            <w:proofErr w:type="spell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Гарда (Италия).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Калужский областной театр юного зрителя с 2007 года в рамках обмена актерским мастерством ежегодно проводит обменные гастроли с Могилевским областным театром драмы и комедии имени В.И. Дунина-Марцинкевича (г. Бобруйск, Республика Беларусь). В октябре 2018 коллектив Калужского областного театра юного зрителя провёл гастроли в г. Йошкар-Оле Республики Марий Эл в рамках программы «Большие гастроли для детей и молодежи 2018». Марийскому зрителю были представлены два спектакля для детской аудитории и вечерний спектакль для взрослых.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Интересным межрегиональным проектом стали «Дни Москвы в Калуге» и «Дни Калужской области в Москве».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июле калужанам была представлена разнообразная программа известных творческих коллективов и исполнителей Российской Федерации: группа «</w:t>
            </w:r>
            <w:proofErr w:type="spell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Кватро</w:t>
            </w:r>
            <w:proofErr w:type="spell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», ансамбль «Березка», группа «Несчастный случай», О. </w:t>
            </w:r>
            <w:proofErr w:type="spell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Кормухина</w:t>
            </w:r>
            <w:proofErr w:type="spell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Ю. </w:t>
            </w:r>
            <w:proofErr w:type="spell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Началова</w:t>
            </w:r>
            <w:proofErr w:type="spell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др. В 2018 году также состоялись ответные Дни Калужской области в Москве. Артисты Калужской областной филармонии представили москвичам и гостям города концертную программу «Душа земли Калужской», которая состоялась в Зале Церковных Соборов Храма Христа Спасителя с участием заслуженной артистки России Л. </w:t>
            </w:r>
            <w:proofErr w:type="spell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Музалевой</w:t>
            </w:r>
            <w:proofErr w:type="spell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солистов Калужской филармонии Т. </w:t>
            </w:r>
            <w:proofErr w:type="spell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Мосиной</w:t>
            </w:r>
            <w:proofErr w:type="spell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М. </w:t>
            </w:r>
            <w:proofErr w:type="spell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Селявинской</w:t>
            </w:r>
            <w:proofErr w:type="spell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Ф. Тарасова в сопровождении оркестра русских народных инструментов им. Е. Тришина.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Развивается музейная сеть. К объединенному музею-заповеднику, присоединяются новые филиалы. Совместно с Государственным Эрмитажем и Государственным Русским музеем в 2018 году продолжена работа по реализации крупных выставочных проектов (выставка «Илья Репин» из собрания Государственного Русского музея; выставка «Служители правосудия». Литографии Оноре Домье из собрания Государственного Эрмитажа»). 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целях создания филиала Эрмитажа в Калуге совместно с управлением по охране объектов культурного наследия области в 2018 году разработан проект приспособления Дома Гражданского губернатора под музейную деятельность, который прохо</w:t>
            </w:r>
            <w:r w:rsidR="00B5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дит государственную экспертизу.</w:t>
            </w:r>
            <w:bookmarkStart w:id="0" w:name="_GoBack"/>
            <w:bookmarkEnd w:id="0"/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 год ознаменован выходом четырёх номеров журнала «Калужское наследие», на страницах которого опубликованы материалы, посвященные богатейшему культурно-историческому наследию региона. Журнал выходит ежеквартально.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Стабильно работают библиотеки области, являющиеся сегодня не просто хранилищем книг, а местными центрами общественной и культурной жизни, особенно на селе.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Библиотеки Калужской области успешно участвуют в реализации крупных федеральных проектов модернизации библиотек: ЛИБНЕТ (создание Сводного электронного каталога библиотек России), АРБИКОН (межбиблиотечный абонемент и доставка документов, межрегиональная аналитическая роспись статей, создание сводного каталога периодики библиотек России), «Модельные библиотеки», «Книжные памятники», «Сохранение библиотечных фондов», создание системы доступа к Национальной электронной библиотеке и др. В электронные базы данных внесено 2 млн. записей.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сегодняшний день в Калужской области действует 19 модельных сельских библиотек. На базе государственных и муниципальных общедоступных библиотек области открыто 42 центра правовой информации.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2018 году в селе </w:t>
            </w:r>
            <w:proofErr w:type="spell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Закрутое</w:t>
            </w:r>
            <w:proofErr w:type="spell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Куйбышевского района открылась двадцатая                         </w:t>
            </w: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 Калужской области модельная библиотека.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Ежегодно из областного бюджета выделяется 5 млн. рублей на приобретение музыкальных инструментов для муниципальных организаций дополнительного образования в сфере культуры. Ежегодно 13 (тринадцать) детских школ искусств области приобретают новые музыкальные инструменты.</w:t>
            </w:r>
          </w:p>
          <w:p w:rsidR="007F0A4C" w:rsidRPr="00E67115" w:rsidRDefault="007F0A4C" w:rsidP="00E6711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государственном университете имени К.Э. Циолковского продолжается работа по организации </w:t>
            </w:r>
            <w:proofErr w:type="gram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 по специальностям</w:t>
            </w:r>
            <w:proofErr w:type="gram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сферы культуры. В настоящее время в КГУ им. К.Э. Циолковского ведется </w:t>
            </w:r>
            <w:proofErr w:type="gram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обучение по направлениям</w:t>
            </w:r>
            <w:proofErr w:type="gramEnd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«Библиотечно-информационная деятельность» «Народное художественное творчество», «Педагогика сценического искусства». </w:t>
            </w:r>
            <w:proofErr w:type="gramStart"/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Следующий шаг - открытие в текущем году специальности «Социокультурная деятельность» и «Музыкальное исполнительство».</w:t>
            </w:r>
            <w:proofErr w:type="gramEnd"/>
          </w:p>
          <w:p w:rsidR="00843176" w:rsidRPr="00E67115" w:rsidRDefault="007F0A4C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 поддержке Губернатора области в течение 2017-2018 годов для всех муниципальных районов области выделены субсидии из областного бюджета на приобретение автоклубов для выездного обслуживания населения. Эта мера направлена на повышения доступности для населения, особенно в отдаленных поселениях, услуг культурно-досуговой сферы.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2.2 Вклад основных результатов в решение задач и достижение целей государственной программы: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F0A4C" w:rsidRPr="00E67115" w:rsidRDefault="007F0A4C" w:rsidP="00E6711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3"/>
                <w:tab w:val="left" w:pos="1085"/>
              </w:tabs>
              <w:spacing w:after="0" w:line="240" w:lineRule="auto"/>
              <w:ind w:left="93" w:firstLine="42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сохранение сети учреждений культуры; </w:t>
            </w:r>
          </w:p>
          <w:p w:rsidR="007F0A4C" w:rsidRPr="00E67115" w:rsidRDefault="007F0A4C" w:rsidP="00E6711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3"/>
                <w:tab w:val="left" w:pos="1085"/>
              </w:tabs>
              <w:spacing w:after="0" w:line="240" w:lineRule="auto"/>
              <w:ind w:left="93" w:firstLine="42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доступности культурных ценностей через использование </w:t>
            </w:r>
            <w:proofErr w:type="spellStart"/>
            <w:r w:rsidRPr="00E67115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малозатратных</w:t>
            </w:r>
            <w:proofErr w:type="spellEnd"/>
            <w:r w:rsidRPr="00E671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информационных технологий; </w:t>
            </w:r>
          </w:p>
          <w:p w:rsidR="007F0A4C" w:rsidRPr="00E67115" w:rsidRDefault="007F0A4C" w:rsidP="00E6711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3"/>
                <w:tab w:val="left" w:pos="1085"/>
              </w:tabs>
              <w:spacing w:after="0" w:line="240" w:lineRule="auto"/>
              <w:ind w:left="93" w:firstLine="42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механизмов государственно-частного партнерства; </w:t>
            </w:r>
          </w:p>
          <w:p w:rsidR="007F0A4C" w:rsidRPr="00E67115" w:rsidRDefault="007F0A4C" w:rsidP="00E6711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3"/>
                <w:tab w:val="left" w:pos="1085"/>
              </w:tabs>
              <w:spacing w:after="0" w:line="240" w:lineRule="auto"/>
              <w:ind w:left="93" w:firstLine="42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модернизация материально-технической базы отрасли;</w:t>
            </w:r>
          </w:p>
          <w:p w:rsidR="00843176" w:rsidRPr="00E67115" w:rsidRDefault="007F0A4C" w:rsidP="00E6711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3"/>
                <w:tab w:val="left" w:pos="1085"/>
              </w:tabs>
              <w:spacing w:after="0" w:line="240" w:lineRule="auto"/>
              <w:ind w:left="93" w:firstLine="42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творческой части населения.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 Плановые значения выполнены на 100 % и выше по следующим индикаторам: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граждан, воспользовавшихся услугами учреждений культуры, искусства и образования в сфере культуры и искусства, архивов Калужской области;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проведенных мероприятий в сфере культуры и искусства;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Удельный вес объектов культурного наследия, имеющих удовлетворительное состояние, к общему количеству объектов культурного наследия, расположенных на территории Калужской области.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</w:t>
            </w:r>
            <w:proofErr w:type="gramStart"/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</w:t>
            </w:r>
            <w:proofErr w:type="gramEnd"/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выполнены запланированные значения по следующим индикаторам: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F0A4C" w:rsidRPr="00E67115" w:rsidRDefault="007F0A4C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Показатели с невыполненными запланированными значениями отсутствуют.</w:t>
            </w:r>
          </w:p>
          <w:p w:rsidR="00843176" w:rsidRPr="00E67115" w:rsidRDefault="007F0A4C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Сведения об индикаторах государственной программы, показателях подпрограмм, входящих в ее состав и их значениях представлены в </w:t>
            </w:r>
            <w:hyperlink r:id="rId8" w:history="1">
              <w:r w:rsidRPr="00E67115">
                <w:rPr>
                  <w:rFonts w:ascii="Times New Roman" w:eastAsia="Times New Roman" w:hAnsi="Times New Roman" w:cs="Times New Roman"/>
                  <w:i/>
                  <w:sz w:val="26"/>
                  <w:szCs w:val="26"/>
                </w:rPr>
                <w:t>таблице</w:t>
              </w:r>
            </w:hyperlink>
            <w:r w:rsidRPr="00E6711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№ 1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F0A4C" w:rsidRPr="00E67115" w:rsidRDefault="007F0A4C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6"/>
              </w:rPr>
            </w:pPr>
          </w:p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 Выполненные контрольные мероприятия: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7F0A4C"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мероприятий, посвященных 100-летию Калужского музея изобразительных искусств</w:t>
            </w: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ежегодное издание и публикация творческих работ калужских авторов, а также работ о культурных и исторических событиях, связанных с Калужским краем;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ежегодное обучение специалистов отрасли культуры и выделение грантов, стипендий творчески одаренным детям, премирование за особые достижения в различных сферах культуры;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7F0A4C"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роведение ремонтно-реставрационных работ на объектах культурного наследия, находящихся в собственности Калужской области;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="007F0A4C"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величение доли объектов культурного наследия, расположенных на территории Калужской области, обеспеченных учетной документацией, необходимой для включения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69353F" w:rsidRPr="00E67115" w:rsidRDefault="0069353F" w:rsidP="00E671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ежегодное увеличение количества единиц хранения архивных документов в государственных </w:t>
            </w:r>
            <w:proofErr w:type="gramStart"/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архивах</w:t>
            </w:r>
            <w:proofErr w:type="gramEnd"/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Калужской области.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7F0A4C"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становка в 2018 году 2 стел в поселениях, на территории которых расположены населенные пункты, удостоенные почетных званий в соответствии с Законом Калужской области "О почетных званиях Калужской области "Город воинской доблести", "Населенный пункт воинской доблести", "Рубеж воинской доблести".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67115" w:rsidRPr="00E67115" w:rsidRDefault="00E67115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6"/>
              </w:rPr>
            </w:pPr>
          </w:p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4. Анализ факторов, повлиявших на ход реализации государственной программы</w:t>
            </w:r>
          </w:p>
        </w:tc>
      </w:tr>
      <w:tr w:rsidR="007F0A4C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1C1800" w:rsidRPr="00E67115" w:rsidRDefault="001C1800" w:rsidP="00E67115">
            <w:pPr>
              <w:spacing w:after="0" w:line="240" w:lineRule="auto"/>
              <w:ind w:firstLine="5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115">
              <w:rPr>
                <w:rFonts w:ascii="Times New Roman" w:hAnsi="Times New Roman"/>
                <w:sz w:val="26"/>
                <w:szCs w:val="26"/>
              </w:rPr>
              <w:t>Факторов, отрицательно повлиявших на ход реализации государственной программы, нет.</w:t>
            </w:r>
          </w:p>
          <w:p w:rsidR="001C1800" w:rsidRPr="00E67115" w:rsidRDefault="001C1800" w:rsidP="00E67115">
            <w:pPr>
              <w:spacing w:after="0" w:line="240" w:lineRule="auto"/>
              <w:ind w:firstLine="5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115">
              <w:rPr>
                <w:rFonts w:ascii="Times New Roman" w:hAnsi="Times New Roman"/>
                <w:sz w:val="26"/>
                <w:szCs w:val="26"/>
              </w:rPr>
              <w:t>Факторы, положительно повлиявшие на ход реализации государственной программы</w:t>
            </w:r>
            <w:r w:rsidR="00F243AB" w:rsidRPr="00E6711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5395E" w:rsidRPr="00E67115" w:rsidRDefault="0069353F" w:rsidP="00E67115">
            <w:pPr>
              <w:spacing w:after="0" w:line="240" w:lineRule="auto"/>
              <w:ind w:firstLine="51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7115">
              <w:rPr>
                <w:rFonts w:ascii="Times New Roman" w:hAnsi="Times New Roman"/>
                <w:sz w:val="26"/>
                <w:szCs w:val="26"/>
              </w:rPr>
              <w:t>- с</w:t>
            </w:r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отрудничество с крупнейшими культурными институциями – Государственным Эрмитажем, Государственным музеем А.С. Пушкина, Государственным Русским музеем, Музеем-усадьбой Л.Н. Толстого «Ясная поляна», Музеем Победы, РОСИЗО, впервые в этом году - Государственной Третьяковской галереей играет важную роль в деятельности калужских музеев. </w:t>
            </w:r>
            <w:proofErr w:type="gramEnd"/>
          </w:p>
          <w:p w:rsidR="00C5395E" w:rsidRPr="00E67115" w:rsidRDefault="0069353F" w:rsidP="00E67115">
            <w:pPr>
              <w:spacing w:after="0" w:line="240" w:lineRule="auto"/>
              <w:ind w:firstLine="518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E67115">
              <w:rPr>
                <w:rFonts w:ascii="Times New Roman" w:hAnsi="Times New Roman"/>
                <w:sz w:val="26"/>
                <w:szCs w:val="26"/>
              </w:rPr>
              <w:t>- п</w:t>
            </w:r>
            <w:r w:rsidR="00C5395E" w:rsidRPr="00E67115">
              <w:rPr>
                <w:rFonts w:ascii="Times New Roman" w:hAnsi="Times New Roman"/>
                <w:sz w:val="26"/>
                <w:szCs w:val="26"/>
              </w:rPr>
              <w:t>роведение крупных военно-исторических фестивалей</w:t>
            </w:r>
            <w:r w:rsidRPr="00E67115">
              <w:rPr>
                <w:rFonts w:ascii="Times New Roman" w:hAnsi="Times New Roman"/>
                <w:sz w:val="26"/>
                <w:szCs w:val="26"/>
              </w:rPr>
              <w:t>:</w:t>
            </w:r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 «Великое Стояние на Угре», </w:t>
            </w:r>
            <w:r w:rsidR="00687C67" w:rsidRPr="00E67115">
              <w:rPr>
                <w:rFonts w:ascii="Times New Roman" w:hAnsi="Times New Roman"/>
                <w:sz w:val="26"/>
                <w:szCs w:val="26"/>
              </w:rPr>
              <w:t>«Героическая оборона Козельска».</w:t>
            </w:r>
          </w:p>
          <w:p w:rsidR="00C5395E" w:rsidRPr="00E67115" w:rsidRDefault="0069353F" w:rsidP="00E67115">
            <w:pPr>
              <w:spacing w:after="0" w:line="240" w:lineRule="auto"/>
              <w:ind w:firstLine="5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11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5395E" w:rsidRPr="00E67115">
              <w:rPr>
                <w:rFonts w:ascii="Times New Roman" w:hAnsi="Times New Roman"/>
                <w:sz w:val="26"/>
                <w:szCs w:val="26"/>
              </w:rPr>
              <w:t>проведени</w:t>
            </w:r>
            <w:r w:rsidRPr="00E67115">
              <w:rPr>
                <w:rFonts w:ascii="Times New Roman" w:hAnsi="Times New Roman"/>
                <w:sz w:val="26"/>
                <w:szCs w:val="26"/>
              </w:rPr>
              <w:t>е</w:t>
            </w:r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 фестивалей, смотров, конкурсов, праздников различных уровней и направлений, многие из которых посвящены празднованию юбилейных и памятных дат, установленных областным законом: </w:t>
            </w:r>
            <w:proofErr w:type="gramStart"/>
            <w:r w:rsidR="00C5395E" w:rsidRPr="00E67115">
              <w:rPr>
                <w:rFonts w:ascii="Times New Roman" w:hAnsi="Times New Roman"/>
                <w:sz w:val="26"/>
                <w:szCs w:val="26"/>
              </w:rPr>
              <w:t>Международный музыкальный фестиваль «Мир гитары», Международный кинофестиваль «Встреча», Музыкально-художественный фестиваль Фонда Святослава Рихтера, Всероссийский фестиваль «Театральные каникулы», выступление прославленного коллектива Государственного Академического Русского народного хора им. М.Е. Пятницкого в День образования Калужской области, «Дни Москвы в Калуге» и «Дни Калужской области в Москве»</w:t>
            </w:r>
            <w:r w:rsidRPr="00E67115">
              <w:rPr>
                <w:rFonts w:ascii="Times New Roman" w:hAnsi="Times New Roman"/>
                <w:sz w:val="26"/>
                <w:szCs w:val="26"/>
              </w:rPr>
              <w:t>, фестиваль народной музыки «Играй, рожок!», фестиваль «</w:t>
            </w:r>
            <w:proofErr w:type="spellStart"/>
            <w:r w:rsidRPr="00E67115">
              <w:rPr>
                <w:rFonts w:ascii="Times New Roman" w:hAnsi="Times New Roman"/>
                <w:sz w:val="26"/>
                <w:szCs w:val="26"/>
              </w:rPr>
              <w:t>Хлудневское</w:t>
            </w:r>
            <w:proofErr w:type="spellEnd"/>
            <w:r w:rsidRPr="00E67115">
              <w:rPr>
                <w:rFonts w:ascii="Times New Roman" w:hAnsi="Times New Roman"/>
                <w:sz w:val="26"/>
                <w:szCs w:val="26"/>
              </w:rPr>
              <w:t xml:space="preserve"> древо», фестиваль «Поет село родное» </w:t>
            </w:r>
            <w:r w:rsidR="00C5395E" w:rsidRPr="00E67115">
              <w:rPr>
                <w:rFonts w:ascii="Times New Roman" w:hAnsi="Times New Roman"/>
                <w:sz w:val="26"/>
                <w:szCs w:val="26"/>
              </w:rPr>
              <w:t>и многие другие.</w:t>
            </w:r>
            <w:proofErr w:type="gramEnd"/>
          </w:p>
          <w:p w:rsidR="00C5395E" w:rsidRPr="00E67115" w:rsidRDefault="0069353F" w:rsidP="00E67115">
            <w:pPr>
              <w:spacing w:after="0" w:line="240" w:lineRule="auto"/>
              <w:ind w:firstLine="51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7115">
              <w:rPr>
                <w:rFonts w:ascii="Times New Roman" w:hAnsi="Times New Roman"/>
                <w:sz w:val="26"/>
                <w:szCs w:val="26"/>
              </w:rPr>
              <w:t>- в</w:t>
            </w:r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ыполнены работы по реконструкции сельского дома культуры в д. </w:t>
            </w:r>
            <w:proofErr w:type="spellStart"/>
            <w:r w:rsidR="00C5395E" w:rsidRPr="00E67115">
              <w:rPr>
                <w:rFonts w:ascii="Times New Roman" w:hAnsi="Times New Roman"/>
                <w:sz w:val="26"/>
                <w:szCs w:val="26"/>
              </w:rPr>
              <w:t>Михеево</w:t>
            </w:r>
            <w:proofErr w:type="spellEnd"/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 Медынского района (</w:t>
            </w:r>
            <w:proofErr w:type="spellStart"/>
            <w:r w:rsidR="00C5395E" w:rsidRPr="00E67115">
              <w:rPr>
                <w:rFonts w:ascii="Times New Roman" w:hAnsi="Times New Roman"/>
                <w:sz w:val="26"/>
                <w:szCs w:val="26"/>
              </w:rPr>
              <w:t>минсельхоз</w:t>
            </w:r>
            <w:proofErr w:type="spellEnd"/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), проведены  капитальный ремонт Домов культуры в с. Барятино Барятинского района, с. Заречный </w:t>
            </w:r>
            <w:proofErr w:type="spellStart"/>
            <w:r w:rsidR="00C5395E" w:rsidRPr="00E67115">
              <w:rPr>
                <w:rFonts w:ascii="Times New Roman" w:hAnsi="Times New Roman"/>
                <w:sz w:val="26"/>
                <w:szCs w:val="26"/>
              </w:rPr>
              <w:t>Людиновского</w:t>
            </w:r>
            <w:proofErr w:type="spellEnd"/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 района, д. </w:t>
            </w:r>
            <w:proofErr w:type="spellStart"/>
            <w:r w:rsidR="00C5395E" w:rsidRPr="00E67115">
              <w:rPr>
                <w:rFonts w:ascii="Times New Roman" w:hAnsi="Times New Roman"/>
                <w:sz w:val="26"/>
                <w:szCs w:val="26"/>
              </w:rPr>
              <w:t>Порослицы</w:t>
            </w:r>
            <w:proofErr w:type="spellEnd"/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 Юхновского района, д. </w:t>
            </w:r>
            <w:proofErr w:type="spellStart"/>
            <w:r w:rsidR="00C5395E" w:rsidRPr="00E67115">
              <w:rPr>
                <w:rFonts w:ascii="Times New Roman" w:hAnsi="Times New Roman"/>
                <w:sz w:val="26"/>
                <w:szCs w:val="26"/>
              </w:rPr>
              <w:t>Сяглово</w:t>
            </w:r>
            <w:proofErr w:type="spellEnd"/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 и д. </w:t>
            </w:r>
            <w:proofErr w:type="spellStart"/>
            <w:r w:rsidR="00C5395E" w:rsidRPr="00E67115">
              <w:rPr>
                <w:rFonts w:ascii="Times New Roman" w:hAnsi="Times New Roman"/>
                <w:sz w:val="26"/>
                <w:szCs w:val="26"/>
              </w:rPr>
              <w:t>Гульцово</w:t>
            </w:r>
            <w:proofErr w:type="spellEnd"/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5395E" w:rsidRPr="00E67115">
              <w:rPr>
                <w:rFonts w:ascii="Times New Roman" w:hAnsi="Times New Roman"/>
                <w:sz w:val="26"/>
                <w:szCs w:val="26"/>
              </w:rPr>
              <w:t>Думиничского</w:t>
            </w:r>
            <w:proofErr w:type="spellEnd"/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 района, районного дома культуры </w:t>
            </w:r>
            <w:proofErr w:type="spellStart"/>
            <w:r w:rsidR="00C5395E" w:rsidRPr="00E67115">
              <w:rPr>
                <w:rFonts w:ascii="Times New Roman" w:hAnsi="Times New Roman"/>
                <w:sz w:val="26"/>
                <w:szCs w:val="26"/>
              </w:rPr>
              <w:t>Малоярославецкого</w:t>
            </w:r>
            <w:proofErr w:type="spellEnd"/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 района и Кировского районного центра культуры и искусства, ведется строительство нового многофункционального культурного центра в с. </w:t>
            </w:r>
            <w:proofErr w:type="spellStart"/>
            <w:r w:rsidR="00C5395E" w:rsidRPr="00E67115">
              <w:rPr>
                <w:rFonts w:ascii="Times New Roman" w:hAnsi="Times New Roman"/>
                <w:sz w:val="26"/>
                <w:szCs w:val="26"/>
              </w:rPr>
              <w:t>Березечский</w:t>
            </w:r>
            <w:proofErr w:type="spellEnd"/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 стеклозавод</w:t>
            </w:r>
            <w:proofErr w:type="gramEnd"/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, в </w:t>
            </w:r>
            <w:proofErr w:type="gramStart"/>
            <w:r w:rsidR="00C5395E" w:rsidRPr="00E67115">
              <w:rPr>
                <w:rFonts w:ascii="Times New Roman" w:hAnsi="Times New Roman"/>
                <w:sz w:val="26"/>
                <w:szCs w:val="26"/>
              </w:rPr>
              <w:t>рамках</w:t>
            </w:r>
            <w:proofErr w:type="gramEnd"/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 партийного проекта «Культура малой родины» проведен текущий ремонт 19 культурно-досуговых учреждений. </w:t>
            </w:r>
          </w:p>
          <w:p w:rsidR="00687C67" w:rsidRPr="00E67115" w:rsidRDefault="00A25734" w:rsidP="00E67115">
            <w:pPr>
              <w:spacing w:after="0" w:line="240" w:lineRule="auto"/>
              <w:ind w:firstLine="5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115">
              <w:rPr>
                <w:rFonts w:ascii="Times New Roman" w:hAnsi="Times New Roman"/>
                <w:sz w:val="26"/>
                <w:szCs w:val="26"/>
              </w:rPr>
              <w:t>- о</w:t>
            </w:r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ткрытая площадка летнего амфитеатра </w:t>
            </w:r>
            <w:r w:rsidRPr="00E67115">
              <w:rPr>
                <w:rFonts w:ascii="Times New Roman" w:hAnsi="Times New Roman"/>
                <w:sz w:val="26"/>
                <w:szCs w:val="26"/>
              </w:rPr>
              <w:t>инновационного культурного центра</w:t>
            </w:r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 в 2018 году оборудована светодиодным экраном, на котором транслировались матчи Фифа, фильмы в формате высокой четкости, в том числе в дневное время</w:t>
            </w:r>
            <w:r w:rsidR="00687C67" w:rsidRPr="00E67115">
              <w:rPr>
                <w:rFonts w:ascii="Times New Roman" w:hAnsi="Times New Roman"/>
                <w:sz w:val="26"/>
                <w:szCs w:val="26"/>
              </w:rPr>
              <w:t xml:space="preserve"> и при любых погодных условиях.</w:t>
            </w:r>
          </w:p>
          <w:p w:rsidR="007F0A4C" w:rsidRPr="00E67115" w:rsidRDefault="00687C67" w:rsidP="00E67115">
            <w:pPr>
              <w:spacing w:after="0" w:line="240" w:lineRule="auto"/>
              <w:ind w:firstLine="5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115">
              <w:rPr>
                <w:rFonts w:ascii="Times New Roman" w:hAnsi="Times New Roman"/>
                <w:sz w:val="26"/>
                <w:szCs w:val="26"/>
              </w:rPr>
              <w:t>- в</w:t>
            </w:r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 Калужской областной филармонии проведен ремонт зрительного зала и гардеробной</w:t>
            </w:r>
            <w:r w:rsidR="00A25734" w:rsidRPr="00E67115">
              <w:rPr>
                <w:rFonts w:ascii="Times New Roman" w:hAnsi="Times New Roman"/>
                <w:sz w:val="26"/>
                <w:szCs w:val="26"/>
              </w:rPr>
              <w:t>, продолжено</w:t>
            </w:r>
            <w:r w:rsidR="00C5395E" w:rsidRPr="00E67115">
              <w:rPr>
                <w:rFonts w:ascii="Times New Roman" w:hAnsi="Times New Roman"/>
                <w:sz w:val="26"/>
                <w:szCs w:val="26"/>
              </w:rPr>
              <w:t xml:space="preserve"> переоборудование открытой концертной площадки «Гостиный двор». 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5. Данные об использовании бюджетных ассигнований и средств из иных </w:t>
            </w:r>
            <w:r w:rsidRPr="00E6711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источников, направленных на реализацию государственной программы, в разрезе программных мероприятий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Фактическое финансирование программы в 2018 году составило 1</w:t>
            </w:r>
            <w:r w:rsidR="007F0A4C"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091</w:t>
            </w:r>
            <w:r w:rsidR="007F0A4C"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650</w:t>
            </w:r>
            <w:r w:rsidR="007F0A4C"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,40</w:t>
            </w: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из них: 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- 976</w:t>
            </w:r>
            <w:r w:rsidR="007F0A4C"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</w:t>
            </w:r>
            <w:r w:rsidR="007F0A4C"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 за счет средств областного бюджета;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- 114</w:t>
            </w:r>
            <w:r w:rsidR="007F0A4C"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879</w:t>
            </w:r>
            <w:r w:rsidR="007F0A4C"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 тыс. руб. за счет средств федерального бюджета.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243AB" w:rsidRPr="00E67115" w:rsidRDefault="00F243AB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Наибольший объем средств направлен </w:t>
            </w:r>
            <w:proofErr w:type="gramStart"/>
            <w:r w:rsidRPr="00E67115">
              <w:rPr>
                <w:rFonts w:ascii="Times New Roman" w:hAnsi="Times New Roman" w:cs="Times New Roman"/>
                <w:iCs/>
                <w:sz w:val="26"/>
                <w:szCs w:val="26"/>
              </w:rPr>
              <w:t>на</w:t>
            </w:r>
            <w:proofErr w:type="gramEnd"/>
            <w:r w:rsidRPr="00E67115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:rsidR="00F243AB" w:rsidRPr="00E67115" w:rsidRDefault="00F243AB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iCs/>
                <w:sz w:val="26"/>
                <w:szCs w:val="26"/>
              </w:rPr>
              <w:t>финансовое обеспечение выполнения государственного задания на оказание государственных услуг (выполнение работ) учреждений подведомственных министерству культуры Калужской области;</w:t>
            </w:r>
          </w:p>
          <w:p w:rsidR="00F243AB" w:rsidRPr="00E67115" w:rsidRDefault="00F243AB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автоклубов для выездного обслуживания населения;</w:t>
            </w:r>
          </w:p>
          <w:p w:rsidR="007567E9" w:rsidRPr="00E67115" w:rsidRDefault="007567E9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11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местности;</w:t>
            </w:r>
          </w:p>
          <w:p w:rsidR="00F243AB" w:rsidRPr="00E67115" w:rsidRDefault="007567E9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iCs/>
                <w:sz w:val="26"/>
                <w:szCs w:val="26"/>
              </w:rPr>
              <w:t>выполнение ремонтно-реставрационных работ и укрепление материально – технической базы учреждений культуры и образования в сфере культуры и т.д.</w:t>
            </w:r>
          </w:p>
          <w:p w:rsidR="00F243AB" w:rsidRPr="00E67115" w:rsidRDefault="00F243AB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26"/>
              </w:rPr>
            </w:pPr>
          </w:p>
          <w:p w:rsidR="00F243AB" w:rsidRPr="00E67115" w:rsidRDefault="00F243AB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Средства федерального бюджета привлекались в </w:t>
            </w:r>
            <w:proofErr w:type="gramStart"/>
            <w:r w:rsidRPr="00E67115">
              <w:rPr>
                <w:rFonts w:ascii="Times New Roman" w:hAnsi="Times New Roman" w:cs="Times New Roman"/>
                <w:iCs/>
                <w:sz w:val="26"/>
                <w:szCs w:val="26"/>
              </w:rPr>
              <w:t>рамках</w:t>
            </w:r>
            <w:proofErr w:type="gramEnd"/>
            <w:r w:rsidRPr="00E6711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реализации государственной программы Российской Федерации «Развитие культуры и туризма» на 2013-2020 годы».</w:t>
            </w:r>
          </w:p>
          <w:p w:rsidR="007F0A4C" w:rsidRPr="00E67115" w:rsidRDefault="007F0A4C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Данные об использовании бюджетных и иных средств на реализацию мероприятий государственной программы в рамках подпрограмм представлены в таблице № 2.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67115" w:rsidRPr="00E67115" w:rsidRDefault="00E67115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6"/>
              </w:rPr>
            </w:pPr>
          </w:p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6. Оценка эффективности реализации государственной программы 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2018 году реализация государственной программы Калужской области «Развитие культуры в Калужской области» характеризуется высоким уровнем эффективности – 100 %, в том числе реализация подпрограмм характеризуется: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высоким уровнем эффективности - 5 подпрограмм, в том числе: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«Развитие учреждений культуры и образования в сфере культуры Калужской области» (100%);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«Организация и проведение мероприятий в сфере культуры, искусства и кинематографии» (99,6%);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«Обеспечение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объектов» (100%);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«Обеспечение формирования и содержания архивных фондов в Калужской области» (100%);</w:t>
            </w:r>
          </w:p>
        </w:tc>
      </w:tr>
      <w:tr w:rsidR="00843176" w:rsidRPr="00E6711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43176" w:rsidRPr="00E67115" w:rsidRDefault="003943DF" w:rsidP="00E6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«Организация и проведение мероприятий, посвященных празднованию 75-летия Победы в Великой Отечественной войне» (100%).</w:t>
            </w:r>
          </w:p>
        </w:tc>
      </w:tr>
    </w:tbl>
    <w:p w:rsidR="00C862B2" w:rsidRPr="00E67115" w:rsidRDefault="00C862B2" w:rsidP="00E67115">
      <w:pPr>
        <w:spacing w:line="240" w:lineRule="auto"/>
        <w:jc w:val="both"/>
        <w:rPr>
          <w:sz w:val="26"/>
          <w:szCs w:val="26"/>
        </w:rPr>
      </w:pPr>
    </w:p>
    <w:sectPr w:rsidR="00C862B2" w:rsidRPr="00E67115"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60" w:rsidRDefault="00690260">
      <w:pPr>
        <w:spacing w:after="0" w:line="240" w:lineRule="auto"/>
      </w:pPr>
      <w:r>
        <w:separator/>
      </w:r>
    </w:p>
  </w:endnote>
  <w:endnote w:type="continuationSeparator" w:id="0">
    <w:p w:rsidR="00690260" w:rsidRDefault="0069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60" w:rsidRDefault="00690260">
      <w:pPr>
        <w:spacing w:after="0" w:line="240" w:lineRule="auto"/>
      </w:pPr>
      <w:r>
        <w:separator/>
      </w:r>
    </w:p>
  </w:footnote>
  <w:footnote w:type="continuationSeparator" w:id="0">
    <w:p w:rsidR="00690260" w:rsidRDefault="00690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AEA"/>
    <w:multiLevelType w:val="hybridMultilevel"/>
    <w:tmpl w:val="56A2080C"/>
    <w:lvl w:ilvl="0" w:tplc="27484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60E2"/>
    <w:multiLevelType w:val="hybridMultilevel"/>
    <w:tmpl w:val="2966AE4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645133CA"/>
    <w:multiLevelType w:val="hybridMultilevel"/>
    <w:tmpl w:val="56649AA2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4C"/>
    <w:rsid w:val="0007481C"/>
    <w:rsid w:val="001C1800"/>
    <w:rsid w:val="001E6A6C"/>
    <w:rsid w:val="003943DF"/>
    <w:rsid w:val="003A4F2B"/>
    <w:rsid w:val="003A5799"/>
    <w:rsid w:val="0041210B"/>
    <w:rsid w:val="00511402"/>
    <w:rsid w:val="005F4548"/>
    <w:rsid w:val="00687C67"/>
    <w:rsid w:val="00690260"/>
    <w:rsid w:val="0069353F"/>
    <w:rsid w:val="007567E9"/>
    <w:rsid w:val="007747B9"/>
    <w:rsid w:val="007F0A4C"/>
    <w:rsid w:val="00843176"/>
    <w:rsid w:val="008C5736"/>
    <w:rsid w:val="00A25734"/>
    <w:rsid w:val="00B46419"/>
    <w:rsid w:val="00B52620"/>
    <w:rsid w:val="00B64833"/>
    <w:rsid w:val="00C5395E"/>
    <w:rsid w:val="00C862B2"/>
    <w:rsid w:val="00E047C8"/>
    <w:rsid w:val="00E67115"/>
    <w:rsid w:val="00E731C4"/>
    <w:rsid w:val="00F243AB"/>
    <w:rsid w:val="00F63C0E"/>
    <w:rsid w:val="00F737C7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4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7C8"/>
  </w:style>
  <w:style w:type="paragraph" w:styleId="a7">
    <w:name w:val="footer"/>
    <w:basedOn w:val="a"/>
    <w:link w:val="a8"/>
    <w:uiPriority w:val="99"/>
    <w:unhideWhenUsed/>
    <w:rsid w:val="00E04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4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7C8"/>
  </w:style>
  <w:style w:type="paragraph" w:styleId="a7">
    <w:name w:val="footer"/>
    <w:basedOn w:val="a"/>
    <w:link w:val="a8"/>
    <w:uiPriority w:val="99"/>
    <w:unhideWhenUsed/>
    <w:rsid w:val="00E04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4DFA346EE146B3253C3E9C4D85872A7CF80957776C55B5E466E32990B3CE67E9FA7E8272D82A754x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s_makarov 27.03.2019 17:07:53</dc:subject>
  <dc:creator>Keysystems.DWH2.ReportDesigner</dc:creator>
  <cp:lastModifiedBy>Агеева Татьяна Викторовна</cp:lastModifiedBy>
  <cp:revision>15</cp:revision>
  <cp:lastPrinted>2019-04-15T07:45:00Z</cp:lastPrinted>
  <dcterms:created xsi:type="dcterms:W3CDTF">2019-03-28T13:55:00Z</dcterms:created>
  <dcterms:modified xsi:type="dcterms:W3CDTF">2019-04-17T04:56:00Z</dcterms:modified>
</cp:coreProperties>
</file>